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A5" w:rsidRDefault="004A65A5" w:rsidP="004A65A5">
      <w:pPr>
        <w:spacing w:before="120" w:after="120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quadro seguinte resume a situação das normas harmonizadas relativas a alguns dos equipamentos de sinalização mais relevantes (incluindo algum equipamento de guiamento e balizagem):</w:t>
      </w:r>
    </w:p>
    <w:p w:rsidR="004A65A5" w:rsidRDefault="004A65A5" w:rsidP="004A65A5">
      <w:pPr>
        <w:spacing w:before="120" w:after="120"/>
        <w:ind w:left="284"/>
        <w:jc w:val="both"/>
        <w:rPr>
          <w:rFonts w:ascii="Arial" w:hAnsi="Arial" w:cs="Arial"/>
          <w:color w:val="000000"/>
        </w:rPr>
      </w:pPr>
    </w:p>
    <w:tbl>
      <w:tblPr>
        <w:tblStyle w:val="Tabelacomgrelha"/>
        <w:tblW w:w="0" w:type="auto"/>
        <w:tblInd w:w="284" w:type="dxa"/>
        <w:tblLook w:val="04A0"/>
      </w:tblPr>
      <w:tblGrid>
        <w:gridCol w:w="1333"/>
        <w:gridCol w:w="1417"/>
        <w:gridCol w:w="992"/>
        <w:gridCol w:w="1122"/>
        <w:gridCol w:w="803"/>
        <w:gridCol w:w="1114"/>
      </w:tblGrid>
      <w:tr w:rsidR="004A65A5" w:rsidTr="00D24A83">
        <w:tc>
          <w:tcPr>
            <w:tcW w:w="1333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4A65A5" w:rsidRPr="001F402A" w:rsidRDefault="004A65A5" w:rsidP="00D24A83">
            <w:pPr>
              <w:spacing w:before="60" w:after="60"/>
              <w:ind w:right="-208"/>
              <w:rPr>
                <w:rFonts w:ascii="Arial" w:hAnsi="Arial" w:cs="Arial"/>
                <w:b/>
                <w:sz w:val="14"/>
                <w:szCs w:val="14"/>
              </w:rPr>
            </w:pPr>
            <w:r w:rsidRPr="001F402A">
              <w:rPr>
                <w:rFonts w:ascii="Arial" w:hAnsi="Arial" w:cs="Arial"/>
                <w:b/>
                <w:sz w:val="14"/>
                <w:szCs w:val="14"/>
              </w:rPr>
              <w:t>Equipamento</w:t>
            </w:r>
          </w:p>
        </w:tc>
        <w:tc>
          <w:tcPr>
            <w:tcW w:w="141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4A65A5" w:rsidRPr="001F402A" w:rsidRDefault="004A65A5" w:rsidP="00D24A83">
            <w:pPr>
              <w:spacing w:before="60" w:after="60"/>
              <w:ind w:left="-2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F402A">
              <w:rPr>
                <w:rFonts w:ascii="Arial" w:hAnsi="Arial" w:cs="Arial"/>
                <w:b/>
                <w:sz w:val="14"/>
                <w:szCs w:val="14"/>
              </w:rPr>
              <w:t>Norma Aplicável</w:t>
            </w:r>
          </w:p>
        </w:tc>
        <w:tc>
          <w:tcPr>
            <w:tcW w:w="992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4A65A5" w:rsidRDefault="004A65A5" w:rsidP="00D24A83">
            <w:pPr>
              <w:spacing w:before="60"/>
              <w:ind w:left="-74" w:right="-1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Data de</w:t>
            </w:r>
          </w:p>
          <w:p w:rsidR="004A65A5" w:rsidRPr="001F402A" w:rsidRDefault="004A65A5" w:rsidP="00D24A83">
            <w:pPr>
              <w:spacing w:after="60"/>
              <w:ind w:left="-74" w:right="-1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F402A">
              <w:rPr>
                <w:rFonts w:ascii="Arial" w:hAnsi="Arial" w:cs="Arial"/>
                <w:b/>
                <w:sz w:val="14"/>
                <w:szCs w:val="14"/>
              </w:rPr>
              <w:t>Entrada em Aplicação</w:t>
            </w:r>
          </w:p>
        </w:tc>
        <w:tc>
          <w:tcPr>
            <w:tcW w:w="1122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4A65A5" w:rsidRPr="001F402A" w:rsidRDefault="004A65A5" w:rsidP="00D24A83">
            <w:pPr>
              <w:spacing w:before="60" w:after="60"/>
              <w:ind w:left="-76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F402A">
              <w:rPr>
                <w:rFonts w:ascii="Arial" w:hAnsi="Arial" w:cs="Arial"/>
                <w:b/>
                <w:sz w:val="14"/>
                <w:szCs w:val="14"/>
              </w:rPr>
              <w:t>Data Final do Período de Coexistência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Style w:val="Refdenotaderodap"/>
                <w:rFonts w:ascii="Arial" w:hAnsi="Arial" w:cs="Arial"/>
                <w:b/>
                <w:sz w:val="14"/>
                <w:szCs w:val="14"/>
              </w:rPr>
              <w:footnoteReference w:id="1"/>
            </w:r>
          </w:p>
        </w:tc>
        <w:tc>
          <w:tcPr>
            <w:tcW w:w="803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4A65A5" w:rsidRPr="001F402A" w:rsidRDefault="004A65A5" w:rsidP="00D24A83">
            <w:pPr>
              <w:spacing w:before="60" w:after="60"/>
              <w:ind w:left="-108" w:right="-13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F402A">
              <w:rPr>
                <w:rFonts w:ascii="Arial" w:hAnsi="Arial" w:cs="Arial"/>
                <w:b/>
                <w:sz w:val="14"/>
                <w:szCs w:val="14"/>
              </w:rPr>
              <w:t>Sistema de Avaliação</w:t>
            </w:r>
          </w:p>
        </w:tc>
        <w:tc>
          <w:tcPr>
            <w:tcW w:w="1114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4A65A5" w:rsidRPr="001F402A" w:rsidRDefault="004A65A5" w:rsidP="00D24A83">
            <w:pPr>
              <w:spacing w:before="60" w:after="60"/>
              <w:ind w:right="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F402A">
              <w:rPr>
                <w:rFonts w:ascii="Arial" w:hAnsi="Arial" w:cs="Arial"/>
                <w:b/>
                <w:sz w:val="14"/>
                <w:szCs w:val="14"/>
              </w:rPr>
              <w:t>Organismo</w:t>
            </w: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Pr="001F402A">
              <w:rPr>
                <w:rFonts w:ascii="Arial" w:hAnsi="Arial" w:cs="Arial"/>
                <w:b/>
                <w:sz w:val="14"/>
                <w:szCs w:val="14"/>
              </w:rPr>
              <w:t xml:space="preserve"> Notificado</w:t>
            </w:r>
            <w:r>
              <w:rPr>
                <w:rFonts w:ascii="Arial" w:hAnsi="Arial" w:cs="Arial"/>
                <w:b/>
                <w:sz w:val="14"/>
                <w:szCs w:val="14"/>
              </w:rPr>
              <w:t>s em Portugal</w:t>
            </w:r>
          </w:p>
        </w:tc>
      </w:tr>
      <w:tr w:rsidR="004A65A5" w:rsidTr="00D24A83">
        <w:tc>
          <w:tcPr>
            <w:tcW w:w="1333" w:type="dxa"/>
            <w:tcMar>
              <w:left w:w="57" w:type="dxa"/>
              <w:right w:w="57" w:type="dxa"/>
            </w:tcMar>
          </w:tcPr>
          <w:p w:rsidR="004A65A5" w:rsidRPr="00355985" w:rsidRDefault="004A65A5" w:rsidP="00D24A83">
            <w:pPr>
              <w:spacing w:before="40" w:after="40"/>
              <w:rPr>
                <w:rFonts w:ascii="Arial" w:hAnsi="Arial" w:cs="Arial"/>
                <w:bCs/>
                <w:sz w:val="14"/>
                <w:szCs w:val="14"/>
              </w:rPr>
            </w:pPr>
            <w:r w:rsidRPr="00355985">
              <w:rPr>
                <w:rFonts w:ascii="Arial" w:hAnsi="Arial" w:cs="Arial"/>
                <w:bCs/>
                <w:sz w:val="14"/>
                <w:szCs w:val="14"/>
              </w:rPr>
              <w:t>Sinais fixos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4A65A5" w:rsidRPr="00355985" w:rsidRDefault="004A65A5" w:rsidP="00D24A83">
            <w:pPr>
              <w:spacing w:before="40" w:after="40"/>
              <w:ind w:left="84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355985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EN 12899-1:2007 </w:t>
            </w:r>
            <w:r w:rsidRPr="00355985">
              <w:rPr>
                <w:rStyle w:val="Refdenotaderodap"/>
                <w:rFonts w:ascii="Arial" w:hAnsi="Arial" w:cs="Arial"/>
                <w:bCs/>
                <w:color w:val="000000"/>
                <w:sz w:val="14"/>
                <w:szCs w:val="14"/>
              </w:rPr>
              <w:footnoteReference w:id="2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4A65A5" w:rsidRPr="00355985" w:rsidRDefault="004A65A5" w:rsidP="00D24A8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PT"/>
              </w:rPr>
            </w:pPr>
            <w:r w:rsidRPr="00355985">
              <w:rPr>
                <w:rFonts w:ascii="Arial" w:hAnsi="Arial" w:cs="Arial"/>
                <w:color w:val="000000"/>
                <w:sz w:val="14"/>
                <w:szCs w:val="14"/>
                <w:lang w:eastAsia="pt-PT"/>
              </w:rPr>
              <w:t>2009.01.01</w:t>
            </w:r>
          </w:p>
        </w:tc>
        <w:tc>
          <w:tcPr>
            <w:tcW w:w="1122" w:type="dxa"/>
            <w:tcBorders>
              <w:bottom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:rsidR="004A65A5" w:rsidRPr="00355985" w:rsidRDefault="004A65A5" w:rsidP="00D24A8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PT"/>
              </w:rPr>
            </w:pPr>
            <w:r w:rsidRPr="00355985">
              <w:rPr>
                <w:rFonts w:ascii="Arial" w:hAnsi="Arial" w:cs="Arial"/>
                <w:color w:val="000000"/>
                <w:sz w:val="14"/>
                <w:szCs w:val="14"/>
                <w:lang w:eastAsia="pt-PT"/>
              </w:rPr>
              <w:t>2013.01.01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A65A5" w:rsidRPr="00355985" w:rsidRDefault="004A65A5" w:rsidP="00D24A83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598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14" w:type="dxa"/>
            <w:tcMar>
              <w:left w:w="57" w:type="dxa"/>
              <w:right w:w="57" w:type="dxa"/>
            </w:tcMar>
            <w:vAlign w:val="center"/>
          </w:tcPr>
          <w:p w:rsidR="004A65A5" w:rsidRPr="00355985" w:rsidRDefault="004A65A5" w:rsidP="00D24A83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5985">
              <w:rPr>
                <w:rFonts w:ascii="Arial" w:hAnsi="Arial" w:cs="Arial"/>
                <w:sz w:val="14"/>
                <w:szCs w:val="14"/>
              </w:rPr>
              <w:t>a)</w:t>
            </w:r>
          </w:p>
        </w:tc>
      </w:tr>
      <w:tr w:rsidR="004A65A5" w:rsidTr="00D24A83">
        <w:tc>
          <w:tcPr>
            <w:tcW w:w="133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A65A5" w:rsidRPr="00355985" w:rsidRDefault="004A65A5" w:rsidP="00D24A83">
            <w:pPr>
              <w:spacing w:before="40" w:after="40"/>
              <w:rPr>
                <w:rFonts w:ascii="Arial" w:hAnsi="Arial" w:cs="Arial"/>
                <w:bCs/>
                <w:sz w:val="14"/>
                <w:szCs w:val="14"/>
              </w:rPr>
            </w:pPr>
            <w:r w:rsidRPr="00355985">
              <w:rPr>
                <w:rFonts w:ascii="Arial" w:hAnsi="Arial" w:cs="Arial"/>
                <w:color w:val="000000"/>
                <w:sz w:val="14"/>
                <w:szCs w:val="14"/>
              </w:rPr>
              <w:t>Sistemas luminosos de aviso e segurança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4A65A5" w:rsidRPr="00355985" w:rsidRDefault="004A65A5" w:rsidP="00D24A83">
            <w:pPr>
              <w:spacing w:before="40" w:after="40"/>
              <w:ind w:left="84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355985">
              <w:rPr>
                <w:rFonts w:ascii="Arial" w:hAnsi="Arial" w:cs="Arial"/>
                <w:color w:val="000000"/>
                <w:sz w:val="14"/>
                <w:szCs w:val="14"/>
              </w:rPr>
              <w:t xml:space="preserve">EN 12352:2006 </w:t>
            </w:r>
            <w:r w:rsidRPr="00355985">
              <w:rPr>
                <w:rStyle w:val="Refdenotaderodap"/>
                <w:rFonts w:ascii="Arial" w:hAnsi="Arial" w:cs="Arial"/>
                <w:color w:val="000000"/>
                <w:sz w:val="14"/>
                <w:szCs w:val="14"/>
              </w:rPr>
              <w:footnoteReference w:id="3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4A65A5" w:rsidRPr="00355985" w:rsidRDefault="004A65A5" w:rsidP="00D24A8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PT"/>
              </w:rPr>
            </w:pPr>
            <w:r w:rsidRPr="00355985">
              <w:rPr>
                <w:rFonts w:ascii="Arial" w:hAnsi="Arial" w:cs="Arial"/>
                <w:color w:val="000000"/>
                <w:sz w:val="14"/>
                <w:szCs w:val="14"/>
                <w:lang w:eastAsia="pt-PT"/>
              </w:rPr>
              <w:t>2007.02.01</w:t>
            </w:r>
          </w:p>
        </w:tc>
        <w:tc>
          <w:tcPr>
            <w:tcW w:w="112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A65A5" w:rsidRPr="00355985" w:rsidRDefault="004A65A5" w:rsidP="00D24A8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PT"/>
              </w:rPr>
            </w:pPr>
            <w:r w:rsidRPr="00355985">
              <w:rPr>
                <w:rFonts w:ascii="Arial" w:hAnsi="Arial" w:cs="Arial"/>
                <w:color w:val="000000"/>
                <w:sz w:val="14"/>
                <w:szCs w:val="14"/>
                <w:lang w:eastAsia="pt-PT"/>
              </w:rPr>
              <w:t>2008.02.01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A65A5" w:rsidRPr="00355985" w:rsidRDefault="004A65A5" w:rsidP="00D24A83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598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14" w:type="dxa"/>
            <w:tcMar>
              <w:left w:w="57" w:type="dxa"/>
              <w:right w:w="57" w:type="dxa"/>
            </w:tcMar>
            <w:vAlign w:val="center"/>
          </w:tcPr>
          <w:p w:rsidR="004A65A5" w:rsidRPr="00355985" w:rsidRDefault="004A65A5" w:rsidP="00D24A83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5985">
              <w:rPr>
                <w:rFonts w:ascii="Arial" w:hAnsi="Arial" w:cs="Arial"/>
                <w:sz w:val="14"/>
                <w:szCs w:val="14"/>
              </w:rPr>
              <w:t>CERTIF</w:t>
            </w:r>
          </w:p>
          <w:p w:rsidR="004A65A5" w:rsidRPr="00355985" w:rsidRDefault="004A65A5" w:rsidP="00D24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5985">
              <w:rPr>
                <w:rFonts w:ascii="Arial" w:hAnsi="Arial" w:cs="Arial"/>
                <w:sz w:val="14"/>
                <w:szCs w:val="14"/>
              </w:rPr>
              <w:t>SGS</w:t>
            </w:r>
          </w:p>
        </w:tc>
      </w:tr>
      <w:tr w:rsidR="004A65A5" w:rsidTr="00D24A83">
        <w:tc>
          <w:tcPr>
            <w:tcW w:w="133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A65A5" w:rsidRPr="00355985" w:rsidRDefault="004A65A5" w:rsidP="00D24A83">
            <w:pPr>
              <w:spacing w:before="40" w:after="40"/>
              <w:rPr>
                <w:rFonts w:ascii="Arial" w:hAnsi="Arial" w:cs="Arial"/>
                <w:bCs/>
                <w:sz w:val="14"/>
                <w:szCs w:val="14"/>
              </w:rPr>
            </w:pPr>
            <w:r w:rsidRPr="00355985">
              <w:rPr>
                <w:rFonts w:ascii="Arial" w:hAnsi="Arial" w:cs="Arial"/>
                <w:bCs/>
                <w:sz w:val="14"/>
                <w:szCs w:val="14"/>
              </w:rPr>
              <w:t>Semáforos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4A65A5" w:rsidRPr="00355985" w:rsidRDefault="004A65A5" w:rsidP="00D24A83">
            <w:pPr>
              <w:spacing w:before="40" w:after="40"/>
              <w:ind w:left="84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355985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EN 12368:2006 </w:t>
            </w:r>
            <w:r w:rsidRPr="00355985">
              <w:rPr>
                <w:rStyle w:val="Refdenotaderodap"/>
                <w:rFonts w:ascii="Arial" w:hAnsi="Arial" w:cs="Arial"/>
                <w:bCs/>
                <w:color w:val="000000"/>
                <w:sz w:val="14"/>
                <w:szCs w:val="14"/>
              </w:rPr>
              <w:footnoteReference w:id="4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4A65A5" w:rsidRPr="00355985" w:rsidRDefault="004A65A5" w:rsidP="00D24A8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PT"/>
              </w:rPr>
            </w:pPr>
            <w:r w:rsidRPr="00355985">
              <w:rPr>
                <w:rFonts w:ascii="Arial" w:hAnsi="Arial" w:cs="Arial"/>
                <w:color w:val="000000"/>
                <w:sz w:val="14"/>
                <w:szCs w:val="14"/>
                <w:lang w:eastAsia="pt-PT"/>
              </w:rPr>
              <w:t>2007.02.01</w:t>
            </w:r>
          </w:p>
        </w:tc>
        <w:tc>
          <w:tcPr>
            <w:tcW w:w="112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A65A5" w:rsidRPr="00355985" w:rsidRDefault="004A65A5" w:rsidP="00D24A8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PT"/>
              </w:rPr>
            </w:pPr>
            <w:r w:rsidRPr="00355985">
              <w:rPr>
                <w:rFonts w:ascii="Arial" w:hAnsi="Arial" w:cs="Arial"/>
                <w:color w:val="000000"/>
                <w:sz w:val="14"/>
                <w:szCs w:val="14"/>
                <w:lang w:eastAsia="pt-PT"/>
              </w:rPr>
              <w:t>2008.02.01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A65A5" w:rsidRPr="00355985" w:rsidRDefault="004A65A5" w:rsidP="00D24A83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598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14" w:type="dxa"/>
            <w:tcMar>
              <w:left w:w="57" w:type="dxa"/>
              <w:right w:w="57" w:type="dxa"/>
            </w:tcMar>
            <w:vAlign w:val="center"/>
          </w:tcPr>
          <w:p w:rsidR="004A65A5" w:rsidRPr="00355985" w:rsidRDefault="004A65A5" w:rsidP="00D24A83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5985">
              <w:rPr>
                <w:rFonts w:ascii="Arial" w:hAnsi="Arial" w:cs="Arial"/>
                <w:sz w:val="14"/>
                <w:szCs w:val="14"/>
              </w:rPr>
              <w:t>CERTIF</w:t>
            </w:r>
          </w:p>
        </w:tc>
      </w:tr>
      <w:tr w:rsidR="004A65A5" w:rsidTr="00D24A83">
        <w:tc>
          <w:tcPr>
            <w:tcW w:w="133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A65A5" w:rsidRPr="00355985" w:rsidRDefault="004A65A5" w:rsidP="00D24A83">
            <w:pPr>
              <w:spacing w:before="40" w:after="40"/>
              <w:rPr>
                <w:rFonts w:ascii="Arial" w:hAnsi="Arial" w:cs="Arial"/>
                <w:bCs/>
                <w:sz w:val="14"/>
                <w:szCs w:val="14"/>
              </w:rPr>
            </w:pPr>
            <w:r w:rsidRPr="00355985">
              <w:rPr>
                <w:rFonts w:ascii="Arial" w:hAnsi="Arial" w:cs="Arial"/>
                <w:bCs/>
                <w:sz w:val="14"/>
                <w:szCs w:val="14"/>
              </w:rPr>
              <w:t>Painéis de mensagem variável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4A65A5" w:rsidRPr="00355985" w:rsidRDefault="004A65A5" w:rsidP="00D24A83">
            <w:pPr>
              <w:spacing w:before="40" w:after="40"/>
              <w:ind w:left="84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355985">
              <w:rPr>
                <w:rFonts w:ascii="Arial" w:hAnsi="Arial" w:cs="Arial"/>
                <w:color w:val="000000"/>
                <w:sz w:val="14"/>
                <w:szCs w:val="14"/>
              </w:rPr>
              <w:t xml:space="preserve">EN 12966-1:2005 </w:t>
            </w:r>
            <w:r w:rsidRPr="00355985">
              <w:rPr>
                <w:rStyle w:val="Refdenotaderodap"/>
                <w:rFonts w:ascii="Arial" w:hAnsi="Arial" w:cs="Arial"/>
                <w:color w:val="000000"/>
                <w:sz w:val="14"/>
                <w:szCs w:val="14"/>
              </w:rPr>
              <w:footnoteReference w:id="5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4A65A5" w:rsidRPr="00355985" w:rsidRDefault="004A65A5" w:rsidP="00D24A8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PT"/>
              </w:rPr>
            </w:pPr>
            <w:r w:rsidRPr="00355985">
              <w:rPr>
                <w:rFonts w:ascii="Arial" w:hAnsi="Arial" w:cs="Arial"/>
                <w:color w:val="000000"/>
                <w:sz w:val="14"/>
                <w:szCs w:val="14"/>
                <w:lang w:eastAsia="pt-PT"/>
              </w:rPr>
              <w:t>2006.02.01</w:t>
            </w:r>
          </w:p>
        </w:tc>
        <w:tc>
          <w:tcPr>
            <w:tcW w:w="112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A65A5" w:rsidRPr="00355985" w:rsidRDefault="004A65A5" w:rsidP="00D24A8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PT"/>
              </w:rPr>
            </w:pPr>
            <w:r w:rsidRPr="00355985">
              <w:rPr>
                <w:rFonts w:ascii="Arial" w:hAnsi="Arial" w:cs="Arial"/>
                <w:color w:val="000000"/>
                <w:sz w:val="14"/>
                <w:szCs w:val="14"/>
                <w:lang w:eastAsia="pt-PT"/>
              </w:rPr>
              <w:t>2007.02.01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A65A5" w:rsidRPr="00355985" w:rsidRDefault="004A65A5" w:rsidP="00D24A83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598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14" w:type="dxa"/>
            <w:tcMar>
              <w:left w:w="57" w:type="dxa"/>
              <w:right w:w="57" w:type="dxa"/>
            </w:tcMar>
            <w:vAlign w:val="center"/>
          </w:tcPr>
          <w:p w:rsidR="004A65A5" w:rsidRPr="00355985" w:rsidRDefault="004A65A5" w:rsidP="00D24A83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5985">
              <w:rPr>
                <w:rFonts w:ascii="Arial" w:hAnsi="Arial" w:cs="Arial"/>
                <w:sz w:val="14"/>
                <w:szCs w:val="14"/>
              </w:rPr>
              <w:t>CERTIF</w:t>
            </w:r>
          </w:p>
        </w:tc>
      </w:tr>
      <w:tr w:rsidR="004A65A5" w:rsidTr="00D24A83">
        <w:tc>
          <w:tcPr>
            <w:tcW w:w="1333" w:type="dxa"/>
            <w:tcMar>
              <w:left w:w="57" w:type="dxa"/>
              <w:right w:w="57" w:type="dxa"/>
            </w:tcMar>
          </w:tcPr>
          <w:p w:rsidR="004A65A5" w:rsidRPr="00355985" w:rsidRDefault="004A65A5" w:rsidP="00D24A83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55985">
              <w:rPr>
                <w:rFonts w:ascii="Arial" w:hAnsi="Arial" w:cs="Arial"/>
                <w:bCs/>
                <w:sz w:val="14"/>
                <w:szCs w:val="14"/>
              </w:rPr>
              <w:t>Delineadores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4A65A5" w:rsidRPr="00355985" w:rsidRDefault="004A65A5" w:rsidP="00D24A83">
            <w:pPr>
              <w:spacing w:before="40" w:after="40"/>
              <w:ind w:left="8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5985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EN 12899-3:2007 </w:t>
            </w:r>
            <w:r w:rsidRPr="00355985">
              <w:rPr>
                <w:rStyle w:val="Refdenotaderodap"/>
                <w:rFonts w:ascii="Arial" w:hAnsi="Arial" w:cs="Arial"/>
                <w:bCs/>
                <w:color w:val="000000"/>
                <w:sz w:val="14"/>
                <w:szCs w:val="14"/>
              </w:rPr>
              <w:footnoteReference w:id="6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4A65A5" w:rsidRPr="00355985" w:rsidRDefault="004A65A5" w:rsidP="00D24A83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5985">
              <w:rPr>
                <w:rFonts w:ascii="Arial" w:hAnsi="Arial" w:cs="Arial"/>
                <w:color w:val="000000"/>
                <w:sz w:val="14"/>
                <w:szCs w:val="14"/>
                <w:lang w:eastAsia="pt-PT"/>
              </w:rPr>
              <w:t>2009.01.01</w:t>
            </w:r>
          </w:p>
        </w:tc>
        <w:tc>
          <w:tcPr>
            <w:tcW w:w="1122" w:type="dxa"/>
            <w:tcMar>
              <w:left w:w="57" w:type="dxa"/>
              <w:right w:w="57" w:type="dxa"/>
            </w:tcMar>
            <w:vAlign w:val="center"/>
          </w:tcPr>
          <w:p w:rsidR="004A65A5" w:rsidRPr="00355985" w:rsidRDefault="004A65A5" w:rsidP="00D24A83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5985">
              <w:rPr>
                <w:rFonts w:ascii="Arial" w:hAnsi="Arial" w:cs="Arial"/>
                <w:color w:val="000000"/>
                <w:sz w:val="14"/>
                <w:szCs w:val="14"/>
                <w:lang w:eastAsia="pt-PT"/>
              </w:rPr>
              <w:t>2013.01.01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A65A5" w:rsidRPr="00355985" w:rsidRDefault="004A65A5" w:rsidP="00D24A83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598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14" w:type="dxa"/>
            <w:tcMar>
              <w:left w:w="57" w:type="dxa"/>
              <w:right w:w="57" w:type="dxa"/>
            </w:tcMar>
            <w:vAlign w:val="center"/>
          </w:tcPr>
          <w:p w:rsidR="004A65A5" w:rsidRPr="00355985" w:rsidRDefault="004A65A5" w:rsidP="00D24A83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5985">
              <w:rPr>
                <w:rFonts w:ascii="Arial" w:hAnsi="Arial" w:cs="Arial"/>
                <w:sz w:val="14"/>
                <w:szCs w:val="14"/>
              </w:rPr>
              <w:t>CERTIF</w:t>
            </w:r>
          </w:p>
        </w:tc>
      </w:tr>
      <w:tr w:rsidR="004A65A5" w:rsidTr="00D24A83">
        <w:tc>
          <w:tcPr>
            <w:tcW w:w="1333" w:type="dxa"/>
            <w:tcMar>
              <w:left w:w="57" w:type="dxa"/>
              <w:right w:w="57" w:type="dxa"/>
            </w:tcMar>
          </w:tcPr>
          <w:p w:rsidR="004A65A5" w:rsidRPr="00355985" w:rsidRDefault="004A65A5" w:rsidP="00D24A83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55985">
              <w:rPr>
                <w:rFonts w:ascii="Arial" w:hAnsi="Arial" w:cs="Arial"/>
                <w:bCs/>
                <w:sz w:val="14"/>
                <w:szCs w:val="14"/>
              </w:rPr>
              <w:t>Marcadores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4A65A5" w:rsidRPr="00355985" w:rsidRDefault="004A65A5" w:rsidP="00D24A83">
            <w:pPr>
              <w:spacing w:before="40" w:after="40"/>
              <w:ind w:left="84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98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EN 1463-1:2009</w:t>
            </w:r>
            <w:r w:rsidRPr="0035598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355985">
              <w:rPr>
                <w:rStyle w:val="Refdenotaderodap"/>
                <w:rFonts w:ascii="Arial" w:hAnsi="Arial" w:cs="Arial"/>
                <w:color w:val="000000"/>
                <w:sz w:val="14"/>
                <w:szCs w:val="14"/>
              </w:rPr>
              <w:footnoteReference w:id="7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4A65A5" w:rsidRPr="00355985" w:rsidRDefault="004A65A5" w:rsidP="00D24A83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5985">
              <w:rPr>
                <w:rFonts w:ascii="Arial" w:hAnsi="Arial" w:cs="Arial"/>
                <w:sz w:val="14"/>
                <w:szCs w:val="14"/>
              </w:rPr>
              <w:t>2010.01.01</w:t>
            </w:r>
          </w:p>
        </w:tc>
        <w:tc>
          <w:tcPr>
            <w:tcW w:w="1122" w:type="dxa"/>
            <w:tcBorders>
              <w:bottom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:rsidR="004A65A5" w:rsidRPr="00355985" w:rsidRDefault="004A65A5" w:rsidP="00D24A83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5985">
              <w:rPr>
                <w:rFonts w:ascii="Arial" w:hAnsi="Arial" w:cs="Arial"/>
                <w:color w:val="000000"/>
                <w:sz w:val="14"/>
                <w:szCs w:val="14"/>
                <w:lang w:eastAsia="pt-PT"/>
              </w:rPr>
              <w:t>2011.01.01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A65A5" w:rsidRPr="00355985" w:rsidRDefault="004A65A5" w:rsidP="00D24A83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598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14" w:type="dxa"/>
            <w:tcMar>
              <w:left w:w="57" w:type="dxa"/>
              <w:right w:w="57" w:type="dxa"/>
            </w:tcMar>
            <w:vAlign w:val="center"/>
          </w:tcPr>
          <w:p w:rsidR="004A65A5" w:rsidRPr="00355985" w:rsidRDefault="004A65A5" w:rsidP="00D24A83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5985">
              <w:rPr>
                <w:rFonts w:ascii="Arial" w:hAnsi="Arial" w:cs="Arial"/>
                <w:sz w:val="14"/>
                <w:szCs w:val="14"/>
              </w:rPr>
              <w:t>CERTIF</w:t>
            </w:r>
          </w:p>
        </w:tc>
      </w:tr>
      <w:tr w:rsidR="004A65A5" w:rsidTr="00D24A83">
        <w:tc>
          <w:tcPr>
            <w:tcW w:w="133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A65A5" w:rsidRPr="00355985" w:rsidRDefault="004A65A5" w:rsidP="00D24A83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55985">
              <w:rPr>
                <w:rFonts w:ascii="Arial" w:hAnsi="Arial" w:cs="Arial"/>
                <w:bCs/>
                <w:sz w:val="14"/>
                <w:szCs w:val="14"/>
              </w:rPr>
              <w:t xml:space="preserve">Barreiras </w:t>
            </w:r>
            <w:r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355985">
              <w:rPr>
                <w:rFonts w:ascii="Arial" w:hAnsi="Arial" w:cs="Arial"/>
                <w:bCs/>
                <w:sz w:val="14"/>
                <w:szCs w:val="14"/>
              </w:rPr>
              <w:t>nti-</w:t>
            </w:r>
            <w:r>
              <w:rPr>
                <w:rFonts w:ascii="Arial" w:hAnsi="Arial" w:cs="Arial"/>
                <w:bCs/>
                <w:sz w:val="14"/>
                <w:szCs w:val="14"/>
              </w:rPr>
              <w:t>e</w:t>
            </w:r>
            <w:r w:rsidRPr="00355985">
              <w:rPr>
                <w:rFonts w:ascii="Arial" w:hAnsi="Arial" w:cs="Arial"/>
                <w:bCs/>
                <w:sz w:val="14"/>
                <w:szCs w:val="14"/>
              </w:rPr>
              <w:t>ncandeamento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4A65A5" w:rsidRPr="00355985" w:rsidRDefault="004A65A5" w:rsidP="00D24A83">
            <w:pPr>
              <w:spacing w:before="40" w:after="40"/>
              <w:ind w:left="8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5985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EN 12676-1:2000 + Emenda A1:2003 </w:t>
            </w:r>
            <w:r w:rsidRPr="00355985">
              <w:rPr>
                <w:rStyle w:val="Refdenotaderodap"/>
                <w:rFonts w:ascii="Arial" w:hAnsi="Arial" w:cs="Arial"/>
                <w:bCs/>
                <w:color w:val="000000"/>
                <w:sz w:val="14"/>
                <w:szCs w:val="14"/>
              </w:rPr>
              <w:footnoteReference w:id="8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4A65A5" w:rsidRPr="00355985" w:rsidRDefault="004A65A5" w:rsidP="00D24A83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5985">
              <w:rPr>
                <w:rFonts w:ascii="Arial" w:hAnsi="Arial" w:cs="Arial"/>
                <w:sz w:val="14"/>
                <w:szCs w:val="14"/>
              </w:rPr>
              <w:t>2004.02.01</w:t>
            </w:r>
          </w:p>
        </w:tc>
        <w:tc>
          <w:tcPr>
            <w:tcW w:w="112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A65A5" w:rsidRPr="00355985" w:rsidRDefault="004A65A5" w:rsidP="00D24A83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5985">
              <w:rPr>
                <w:rFonts w:ascii="Arial" w:hAnsi="Arial" w:cs="Arial"/>
                <w:sz w:val="14"/>
                <w:szCs w:val="14"/>
              </w:rPr>
              <w:t>2006.02.01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A65A5" w:rsidRPr="00355985" w:rsidRDefault="004A65A5" w:rsidP="00D24A83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598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14" w:type="dxa"/>
            <w:tcMar>
              <w:left w:w="57" w:type="dxa"/>
              <w:right w:w="57" w:type="dxa"/>
            </w:tcMar>
            <w:vAlign w:val="center"/>
          </w:tcPr>
          <w:p w:rsidR="004A65A5" w:rsidRPr="00355985" w:rsidRDefault="004A65A5" w:rsidP="00D24A83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5985">
              <w:rPr>
                <w:rFonts w:ascii="Arial" w:hAnsi="Arial" w:cs="Arial"/>
                <w:sz w:val="14"/>
                <w:szCs w:val="14"/>
              </w:rPr>
              <w:t>a)</w:t>
            </w:r>
          </w:p>
        </w:tc>
      </w:tr>
      <w:tr w:rsidR="004A65A5" w:rsidTr="00D24A83">
        <w:tc>
          <w:tcPr>
            <w:tcW w:w="1333" w:type="dxa"/>
            <w:tcMar>
              <w:left w:w="57" w:type="dxa"/>
              <w:right w:w="57" w:type="dxa"/>
            </w:tcMar>
          </w:tcPr>
          <w:p w:rsidR="004A65A5" w:rsidRPr="00355985" w:rsidRDefault="004A65A5" w:rsidP="00D24A83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55985">
              <w:rPr>
                <w:rFonts w:ascii="Arial" w:hAnsi="Arial" w:cs="Arial"/>
                <w:bCs/>
                <w:sz w:val="14"/>
                <w:szCs w:val="14"/>
              </w:rPr>
              <w:t>Amortecedores de choque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Style w:val="Refdenotaderodap"/>
                <w:rFonts w:ascii="Arial" w:hAnsi="Arial" w:cs="Arial"/>
                <w:bCs/>
                <w:sz w:val="14"/>
                <w:szCs w:val="14"/>
              </w:rPr>
              <w:footnoteReference w:id="9"/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4A65A5" w:rsidRPr="00355985" w:rsidRDefault="004A65A5" w:rsidP="00D24A83">
            <w:pPr>
              <w:spacing w:before="40" w:after="40"/>
              <w:ind w:left="8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5985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EN 1317-5:2007 + Emenda A1:2008 </w:t>
            </w:r>
            <w:r w:rsidRPr="00355985">
              <w:rPr>
                <w:rStyle w:val="Refdenotaderodap"/>
                <w:rFonts w:ascii="Arial" w:hAnsi="Arial" w:cs="Arial"/>
                <w:bCs/>
                <w:color w:val="000000"/>
                <w:sz w:val="14"/>
                <w:szCs w:val="14"/>
              </w:rPr>
              <w:footnoteReference w:id="10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4A65A5" w:rsidRPr="00355985" w:rsidRDefault="004A65A5" w:rsidP="00D24A83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5985">
              <w:rPr>
                <w:rFonts w:ascii="Arial" w:hAnsi="Arial" w:cs="Arial"/>
                <w:sz w:val="14"/>
                <w:szCs w:val="14"/>
              </w:rPr>
              <w:t>2009.04.01</w:t>
            </w:r>
          </w:p>
        </w:tc>
        <w:tc>
          <w:tcPr>
            <w:tcW w:w="1122" w:type="dxa"/>
            <w:tcMar>
              <w:left w:w="57" w:type="dxa"/>
              <w:right w:w="57" w:type="dxa"/>
            </w:tcMar>
            <w:vAlign w:val="center"/>
          </w:tcPr>
          <w:p w:rsidR="004A65A5" w:rsidRPr="00355985" w:rsidRDefault="004A65A5" w:rsidP="00D24A83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5985">
              <w:rPr>
                <w:rFonts w:ascii="Arial" w:hAnsi="Arial" w:cs="Arial"/>
                <w:sz w:val="14"/>
                <w:szCs w:val="14"/>
              </w:rPr>
              <w:t>2011.01.01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A65A5" w:rsidRPr="00355985" w:rsidRDefault="004A65A5" w:rsidP="00D24A83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598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14" w:type="dxa"/>
            <w:tcMar>
              <w:left w:w="57" w:type="dxa"/>
              <w:right w:w="57" w:type="dxa"/>
            </w:tcMar>
            <w:vAlign w:val="center"/>
          </w:tcPr>
          <w:p w:rsidR="004A65A5" w:rsidRPr="00355985" w:rsidRDefault="004A65A5" w:rsidP="00D24A83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5985">
              <w:rPr>
                <w:rFonts w:ascii="Arial" w:hAnsi="Arial" w:cs="Arial"/>
                <w:sz w:val="14"/>
                <w:szCs w:val="14"/>
              </w:rPr>
              <w:t>CERTIF</w:t>
            </w:r>
          </w:p>
        </w:tc>
      </w:tr>
      <w:tr w:rsidR="004A65A5" w:rsidTr="00D24A83">
        <w:tc>
          <w:tcPr>
            <w:tcW w:w="1333" w:type="dxa"/>
            <w:tcMar>
              <w:left w:w="57" w:type="dxa"/>
              <w:right w:w="57" w:type="dxa"/>
            </w:tcMar>
          </w:tcPr>
          <w:p w:rsidR="004A65A5" w:rsidRPr="00355985" w:rsidRDefault="004A65A5" w:rsidP="00D24A83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55985">
              <w:rPr>
                <w:rFonts w:ascii="Arial" w:hAnsi="Arial" w:cs="Arial"/>
                <w:sz w:val="14"/>
                <w:szCs w:val="14"/>
              </w:rPr>
              <w:t xml:space="preserve">Perfis </w:t>
            </w: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Pr="00355985">
              <w:rPr>
                <w:rFonts w:ascii="Arial" w:hAnsi="Arial" w:cs="Arial"/>
                <w:sz w:val="14"/>
                <w:szCs w:val="14"/>
              </w:rPr>
              <w:t xml:space="preserve">óveis de </w:t>
            </w:r>
            <w:r>
              <w:rPr>
                <w:rFonts w:ascii="Arial" w:hAnsi="Arial" w:cs="Arial"/>
                <w:sz w:val="14"/>
                <w:szCs w:val="14"/>
              </w:rPr>
              <w:t>p</w:t>
            </w:r>
            <w:r w:rsidRPr="00355985">
              <w:rPr>
                <w:rFonts w:ascii="Arial" w:hAnsi="Arial" w:cs="Arial"/>
                <w:sz w:val="14"/>
                <w:szCs w:val="14"/>
              </w:rPr>
              <w:t>lástico</w:t>
            </w:r>
          </w:p>
        </w:tc>
        <w:tc>
          <w:tcPr>
            <w:tcW w:w="5448" w:type="dxa"/>
            <w:gridSpan w:val="5"/>
            <w:tcMar>
              <w:left w:w="57" w:type="dxa"/>
              <w:right w:w="57" w:type="dxa"/>
            </w:tcMar>
            <w:vAlign w:val="center"/>
          </w:tcPr>
          <w:p w:rsidR="004A65A5" w:rsidRPr="00355985" w:rsidRDefault="004A65A5" w:rsidP="00D24A83">
            <w:pPr>
              <w:spacing w:before="40" w:after="40"/>
              <w:ind w:right="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5985">
              <w:rPr>
                <w:rFonts w:ascii="Arial" w:hAnsi="Arial" w:cs="Arial"/>
                <w:sz w:val="14"/>
                <w:szCs w:val="14"/>
              </w:rPr>
              <w:t>Não existe</w:t>
            </w:r>
            <w:r>
              <w:rPr>
                <w:rFonts w:ascii="Arial" w:hAnsi="Arial" w:cs="Arial"/>
                <w:sz w:val="14"/>
                <w:szCs w:val="14"/>
              </w:rPr>
              <w:t xml:space="preserve"> normalização aplicável</w:t>
            </w:r>
          </w:p>
        </w:tc>
      </w:tr>
      <w:tr w:rsidR="004A65A5" w:rsidRPr="00184B71" w:rsidTr="00D24A83">
        <w:tc>
          <w:tcPr>
            <w:tcW w:w="1333" w:type="dxa"/>
            <w:tcMar>
              <w:left w:w="57" w:type="dxa"/>
              <w:right w:w="57" w:type="dxa"/>
            </w:tcMar>
          </w:tcPr>
          <w:p w:rsidR="004A65A5" w:rsidRPr="00355985" w:rsidRDefault="004A65A5" w:rsidP="00D24A83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55985">
              <w:rPr>
                <w:rFonts w:ascii="Arial" w:hAnsi="Arial" w:cs="Arial"/>
                <w:bCs/>
                <w:sz w:val="14"/>
                <w:szCs w:val="14"/>
              </w:rPr>
              <w:t xml:space="preserve">Balizas de </w:t>
            </w:r>
            <w:r>
              <w:rPr>
                <w:rFonts w:ascii="Arial" w:hAnsi="Arial" w:cs="Arial"/>
                <w:bCs/>
                <w:sz w:val="14"/>
                <w:szCs w:val="14"/>
              </w:rPr>
              <w:t>p</w:t>
            </w:r>
            <w:r w:rsidRPr="00355985">
              <w:rPr>
                <w:rFonts w:ascii="Arial" w:hAnsi="Arial" w:cs="Arial"/>
                <w:bCs/>
                <w:sz w:val="14"/>
                <w:szCs w:val="14"/>
              </w:rPr>
              <w:t xml:space="preserve">ontos de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</w:t>
            </w:r>
            <w:r w:rsidRPr="00355985">
              <w:rPr>
                <w:rFonts w:ascii="Arial" w:hAnsi="Arial" w:cs="Arial"/>
                <w:bCs/>
                <w:sz w:val="14"/>
                <w:szCs w:val="14"/>
              </w:rPr>
              <w:t>ivergência</w:t>
            </w:r>
          </w:p>
        </w:tc>
        <w:tc>
          <w:tcPr>
            <w:tcW w:w="5448" w:type="dxa"/>
            <w:gridSpan w:val="5"/>
            <w:tcMar>
              <w:left w:w="57" w:type="dxa"/>
              <w:right w:w="57" w:type="dxa"/>
            </w:tcMar>
            <w:vAlign w:val="center"/>
          </w:tcPr>
          <w:p w:rsidR="004A65A5" w:rsidRPr="00355985" w:rsidRDefault="004A65A5" w:rsidP="00D24A83">
            <w:pPr>
              <w:spacing w:before="40" w:after="40"/>
              <w:ind w:right="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5985">
              <w:rPr>
                <w:rFonts w:ascii="Arial" w:hAnsi="Arial" w:cs="Arial"/>
                <w:sz w:val="14"/>
                <w:szCs w:val="14"/>
              </w:rPr>
              <w:t>Não existe</w:t>
            </w:r>
            <w:r>
              <w:rPr>
                <w:rFonts w:ascii="Arial" w:hAnsi="Arial" w:cs="Arial"/>
                <w:sz w:val="14"/>
                <w:szCs w:val="14"/>
              </w:rPr>
              <w:t xml:space="preserve"> normalização aplicável</w:t>
            </w:r>
          </w:p>
        </w:tc>
      </w:tr>
    </w:tbl>
    <w:p w:rsidR="004A65A5" w:rsidRPr="006849F1" w:rsidRDefault="004A65A5" w:rsidP="004A65A5">
      <w:pPr>
        <w:pStyle w:val="PargrafodaLista"/>
        <w:numPr>
          <w:ilvl w:val="0"/>
          <w:numId w:val="1"/>
        </w:numPr>
        <w:spacing w:before="120" w:line="240" w:lineRule="auto"/>
        <w:ind w:left="567" w:right="5" w:hanging="283"/>
        <w:jc w:val="both"/>
        <w:rPr>
          <w:rFonts w:ascii="Arial" w:hAnsi="Arial" w:cs="Arial"/>
          <w:sz w:val="16"/>
          <w:szCs w:val="16"/>
        </w:rPr>
      </w:pPr>
      <w:r w:rsidRPr="006849F1">
        <w:rPr>
          <w:rFonts w:ascii="Arial" w:hAnsi="Arial" w:cs="Arial"/>
          <w:sz w:val="16"/>
          <w:szCs w:val="16"/>
        </w:rPr>
        <w:t xml:space="preserve">Não existe actualmente nenhum Organismo Notificado em Portugal para este produto. </w:t>
      </w:r>
      <w:r w:rsidRPr="006849F1">
        <w:rPr>
          <w:rFonts w:ascii="Arial" w:hAnsi="Arial" w:cs="Arial"/>
          <w:color w:val="000000"/>
          <w:sz w:val="16"/>
          <w:szCs w:val="16"/>
        </w:rPr>
        <w:t xml:space="preserve">No entanto, </w:t>
      </w:r>
      <w:r>
        <w:rPr>
          <w:rFonts w:ascii="Arial" w:hAnsi="Arial" w:cs="Arial"/>
          <w:color w:val="000000"/>
          <w:sz w:val="16"/>
          <w:szCs w:val="16"/>
        </w:rPr>
        <w:t xml:space="preserve">tal inexistência não elimina a obrigatoriedade de sujeitar o produto à avaliação (e consequente marcação CE), devendo </w:t>
      </w:r>
      <w:r w:rsidRPr="006849F1">
        <w:rPr>
          <w:rFonts w:ascii="Arial" w:hAnsi="Arial" w:cs="Arial"/>
          <w:color w:val="000000"/>
          <w:sz w:val="16"/>
          <w:szCs w:val="16"/>
        </w:rPr>
        <w:t xml:space="preserve">o fabricante recorrer a um organismo notificado em qualquer </w:t>
      </w:r>
      <w:r>
        <w:rPr>
          <w:rFonts w:ascii="Arial" w:hAnsi="Arial" w:cs="Arial"/>
          <w:color w:val="000000"/>
          <w:sz w:val="16"/>
          <w:szCs w:val="16"/>
        </w:rPr>
        <w:t xml:space="preserve">outro </w:t>
      </w:r>
      <w:r w:rsidRPr="006849F1">
        <w:rPr>
          <w:rFonts w:ascii="Arial" w:hAnsi="Arial" w:cs="Arial"/>
          <w:color w:val="000000"/>
          <w:sz w:val="16"/>
          <w:szCs w:val="16"/>
        </w:rPr>
        <w:t>dos estados-membros.</w:t>
      </w:r>
    </w:p>
    <w:p w:rsidR="000A5904" w:rsidRDefault="000A5904"/>
    <w:p w:rsidR="004A65A5" w:rsidRDefault="004A65A5"/>
    <w:p w:rsidR="004A65A5" w:rsidRDefault="004A65A5"/>
    <w:p w:rsidR="004A65A5" w:rsidRDefault="004A65A5"/>
    <w:p w:rsidR="004A65A5" w:rsidRDefault="004A65A5"/>
    <w:p w:rsidR="004A65A5" w:rsidRDefault="004A65A5"/>
    <w:p w:rsidR="004A65A5" w:rsidRDefault="004A65A5"/>
    <w:p w:rsidR="004A65A5" w:rsidRDefault="004A65A5"/>
    <w:p w:rsidR="004A65A5" w:rsidRDefault="004A65A5"/>
    <w:p w:rsidR="004A65A5" w:rsidRDefault="004A65A5"/>
    <w:p w:rsidR="004A65A5" w:rsidRDefault="004A65A5"/>
    <w:p w:rsidR="004A65A5" w:rsidRDefault="004A65A5"/>
    <w:p w:rsidR="004A65A5" w:rsidRDefault="004A65A5"/>
    <w:p w:rsidR="004A65A5" w:rsidRDefault="004A65A5"/>
    <w:p w:rsidR="004A65A5" w:rsidRDefault="004A65A5"/>
    <w:p w:rsidR="004A65A5" w:rsidRDefault="004A65A5"/>
    <w:sectPr w:rsidR="004A65A5" w:rsidSect="000A59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7EC" w:rsidRDefault="00D407EC" w:rsidP="004A65A5">
      <w:r>
        <w:separator/>
      </w:r>
    </w:p>
  </w:endnote>
  <w:endnote w:type="continuationSeparator" w:id="0">
    <w:p w:rsidR="00D407EC" w:rsidRDefault="00D407EC" w:rsidP="004A6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7EC" w:rsidRDefault="00D407EC" w:rsidP="004A65A5">
      <w:r>
        <w:separator/>
      </w:r>
    </w:p>
  </w:footnote>
  <w:footnote w:type="continuationSeparator" w:id="0">
    <w:p w:rsidR="00D407EC" w:rsidRDefault="00D407EC" w:rsidP="004A65A5">
      <w:r>
        <w:continuationSeparator/>
      </w:r>
    </w:p>
  </w:footnote>
  <w:footnote w:id="1">
    <w:p w:rsidR="004A65A5" w:rsidRPr="006849F1" w:rsidRDefault="004A65A5" w:rsidP="004A65A5">
      <w:pPr>
        <w:pStyle w:val="Textodenotaderodap"/>
        <w:ind w:left="113" w:hanging="113"/>
        <w:rPr>
          <w:rFonts w:ascii="Arial" w:hAnsi="Arial" w:cs="Arial"/>
          <w:sz w:val="16"/>
          <w:szCs w:val="16"/>
        </w:rPr>
      </w:pPr>
      <w:r w:rsidRPr="006849F1">
        <w:rPr>
          <w:rStyle w:val="Refdenotaderodap"/>
          <w:rFonts w:ascii="Arial" w:hAnsi="Arial" w:cs="Arial"/>
          <w:sz w:val="16"/>
          <w:szCs w:val="16"/>
        </w:rPr>
        <w:footnoteRef/>
      </w:r>
      <w:r w:rsidRPr="006849F1">
        <w:rPr>
          <w:rFonts w:ascii="Arial" w:hAnsi="Arial" w:cs="Arial"/>
          <w:sz w:val="16"/>
          <w:szCs w:val="16"/>
        </w:rPr>
        <w:t xml:space="preserve"> Período concedido aos estados-membros para retirada de especificações que se sobreponham aos requisitos expressos nas normas harmonizadas. É frequentemente referido como “período de transição” e representa </w:t>
      </w:r>
      <w:r>
        <w:rPr>
          <w:rFonts w:ascii="Arial" w:hAnsi="Arial" w:cs="Arial"/>
          <w:sz w:val="16"/>
          <w:szCs w:val="16"/>
        </w:rPr>
        <w:t xml:space="preserve">também </w:t>
      </w:r>
      <w:r w:rsidRPr="006849F1">
        <w:rPr>
          <w:rFonts w:ascii="Arial" w:hAnsi="Arial" w:cs="Arial"/>
          <w:sz w:val="16"/>
          <w:szCs w:val="16"/>
        </w:rPr>
        <w:t>a data-limite para os fabricantes sujeitarem os seus produtos aos procedimentos de avaliação e emitirem as suas Declarações de Conformidade.</w:t>
      </w:r>
    </w:p>
  </w:footnote>
  <w:footnote w:id="2">
    <w:p w:rsidR="004A65A5" w:rsidRPr="006849F1" w:rsidRDefault="004A65A5" w:rsidP="004A65A5">
      <w:pPr>
        <w:pStyle w:val="Textodenotaderodap"/>
        <w:rPr>
          <w:rFonts w:ascii="Arial" w:hAnsi="Arial" w:cs="Arial"/>
          <w:sz w:val="16"/>
          <w:szCs w:val="16"/>
        </w:rPr>
      </w:pPr>
      <w:r w:rsidRPr="006849F1">
        <w:rPr>
          <w:rStyle w:val="Refdenotaderodap"/>
          <w:rFonts w:ascii="Arial" w:hAnsi="Arial" w:cs="Arial"/>
          <w:sz w:val="16"/>
          <w:szCs w:val="16"/>
        </w:rPr>
        <w:footnoteRef/>
      </w:r>
      <w:r w:rsidRPr="006849F1">
        <w:rPr>
          <w:rFonts w:ascii="Arial" w:hAnsi="Arial" w:cs="Arial"/>
          <w:sz w:val="16"/>
          <w:szCs w:val="16"/>
        </w:rPr>
        <w:t xml:space="preserve"> </w:t>
      </w:r>
      <w:r w:rsidRPr="006849F1">
        <w:rPr>
          <w:rFonts w:ascii="Arial" w:hAnsi="Arial" w:cs="Arial"/>
          <w:bCs/>
          <w:color w:val="000000"/>
          <w:sz w:val="16"/>
          <w:szCs w:val="16"/>
        </w:rPr>
        <w:t>Sinalização vertical rodoviária fixa. Parte 1: Sinais fixos</w:t>
      </w:r>
    </w:p>
  </w:footnote>
  <w:footnote w:id="3">
    <w:p w:rsidR="004A65A5" w:rsidRPr="006849F1" w:rsidRDefault="004A65A5" w:rsidP="004A65A5">
      <w:pPr>
        <w:pStyle w:val="Textodenotaderodap"/>
        <w:rPr>
          <w:rFonts w:ascii="Arial" w:hAnsi="Arial" w:cs="Arial"/>
          <w:sz w:val="16"/>
          <w:szCs w:val="16"/>
        </w:rPr>
      </w:pPr>
      <w:r w:rsidRPr="006849F1">
        <w:rPr>
          <w:rStyle w:val="Refdenotaderodap"/>
          <w:rFonts w:ascii="Arial" w:hAnsi="Arial" w:cs="Arial"/>
          <w:sz w:val="16"/>
          <w:szCs w:val="16"/>
        </w:rPr>
        <w:footnoteRef/>
      </w:r>
      <w:r w:rsidRPr="006849F1">
        <w:rPr>
          <w:rFonts w:ascii="Arial" w:hAnsi="Arial" w:cs="Arial"/>
          <w:sz w:val="16"/>
          <w:szCs w:val="16"/>
        </w:rPr>
        <w:t xml:space="preserve"> </w:t>
      </w:r>
      <w:r w:rsidRPr="006849F1">
        <w:rPr>
          <w:rFonts w:ascii="Arial" w:hAnsi="Arial" w:cs="Arial"/>
          <w:color w:val="000000"/>
          <w:sz w:val="16"/>
          <w:szCs w:val="16"/>
        </w:rPr>
        <w:t>Equipamento de controlo de tráfego — Sistemas luminosos de aviso e segurança</w:t>
      </w:r>
    </w:p>
  </w:footnote>
  <w:footnote w:id="4">
    <w:p w:rsidR="004A65A5" w:rsidRPr="006849F1" w:rsidRDefault="004A65A5" w:rsidP="004A65A5">
      <w:pPr>
        <w:pStyle w:val="Textodenotaderodap"/>
        <w:rPr>
          <w:rFonts w:ascii="Arial" w:hAnsi="Arial" w:cs="Arial"/>
          <w:sz w:val="16"/>
          <w:szCs w:val="16"/>
        </w:rPr>
      </w:pPr>
      <w:r w:rsidRPr="006849F1">
        <w:rPr>
          <w:rStyle w:val="Refdenotaderodap"/>
          <w:rFonts w:ascii="Arial" w:hAnsi="Arial" w:cs="Arial"/>
          <w:sz w:val="16"/>
          <w:szCs w:val="16"/>
        </w:rPr>
        <w:footnoteRef/>
      </w:r>
      <w:r w:rsidRPr="006849F1">
        <w:rPr>
          <w:rFonts w:ascii="Arial" w:hAnsi="Arial" w:cs="Arial"/>
          <w:sz w:val="16"/>
          <w:szCs w:val="16"/>
        </w:rPr>
        <w:t xml:space="preserve"> </w:t>
      </w:r>
      <w:r w:rsidRPr="006849F1">
        <w:rPr>
          <w:rFonts w:ascii="Arial" w:hAnsi="Arial" w:cs="Arial"/>
          <w:color w:val="000000"/>
          <w:sz w:val="16"/>
          <w:szCs w:val="16"/>
        </w:rPr>
        <w:t>Equipamento de controlo de tráfego — Semáforos</w:t>
      </w:r>
    </w:p>
  </w:footnote>
  <w:footnote w:id="5">
    <w:p w:rsidR="004A65A5" w:rsidRPr="006849F1" w:rsidRDefault="004A65A5" w:rsidP="004A65A5">
      <w:pPr>
        <w:pStyle w:val="Textodenotaderodap"/>
        <w:ind w:left="113" w:hanging="113"/>
        <w:rPr>
          <w:rFonts w:ascii="Arial" w:hAnsi="Arial" w:cs="Arial"/>
          <w:sz w:val="16"/>
          <w:szCs w:val="16"/>
        </w:rPr>
      </w:pPr>
      <w:r w:rsidRPr="006849F1">
        <w:rPr>
          <w:rStyle w:val="Refdenotaderodap"/>
          <w:rFonts w:ascii="Arial" w:hAnsi="Arial" w:cs="Arial"/>
          <w:sz w:val="16"/>
          <w:szCs w:val="16"/>
        </w:rPr>
        <w:footnoteRef/>
      </w:r>
      <w:r w:rsidRPr="006849F1">
        <w:rPr>
          <w:rFonts w:ascii="Arial" w:hAnsi="Arial" w:cs="Arial"/>
          <w:sz w:val="16"/>
          <w:szCs w:val="16"/>
        </w:rPr>
        <w:t xml:space="preserve"> </w:t>
      </w:r>
      <w:r w:rsidRPr="006849F1">
        <w:rPr>
          <w:rFonts w:ascii="Arial" w:hAnsi="Arial" w:cs="Arial"/>
          <w:color w:val="000000"/>
          <w:sz w:val="16"/>
          <w:szCs w:val="16"/>
        </w:rPr>
        <w:t>Sinalização rodoviária vertical — Painéis de mensagens variáveis — Parte 1: Norma de produto</w:t>
      </w:r>
    </w:p>
  </w:footnote>
  <w:footnote w:id="6">
    <w:p w:rsidR="004A65A5" w:rsidRPr="006849F1" w:rsidRDefault="004A65A5" w:rsidP="004A65A5">
      <w:pPr>
        <w:pStyle w:val="Textodenotaderodap"/>
        <w:rPr>
          <w:rFonts w:ascii="Arial" w:hAnsi="Arial" w:cs="Arial"/>
          <w:sz w:val="16"/>
          <w:szCs w:val="16"/>
        </w:rPr>
      </w:pPr>
      <w:r w:rsidRPr="006849F1">
        <w:rPr>
          <w:rStyle w:val="Refdenotaderodap"/>
          <w:rFonts w:ascii="Arial" w:hAnsi="Arial" w:cs="Arial"/>
          <w:sz w:val="16"/>
          <w:szCs w:val="16"/>
        </w:rPr>
        <w:footnoteRef/>
      </w:r>
      <w:r w:rsidRPr="006849F1">
        <w:rPr>
          <w:rFonts w:ascii="Arial" w:hAnsi="Arial" w:cs="Arial"/>
          <w:sz w:val="16"/>
          <w:szCs w:val="16"/>
        </w:rPr>
        <w:t xml:space="preserve"> </w:t>
      </w:r>
      <w:r w:rsidRPr="006849F1">
        <w:rPr>
          <w:rFonts w:ascii="Arial" w:hAnsi="Arial" w:cs="Arial"/>
          <w:bCs/>
          <w:color w:val="000000"/>
          <w:sz w:val="16"/>
          <w:szCs w:val="16"/>
        </w:rPr>
        <w:t>Sinalização vertical rodoviária fixa. Parte 3: Delineadores e retrorreflectores</w:t>
      </w:r>
    </w:p>
  </w:footnote>
  <w:footnote w:id="7">
    <w:p w:rsidR="004A65A5" w:rsidRPr="006849F1" w:rsidRDefault="004A65A5" w:rsidP="004A65A5">
      <w:pPr>
        <w:pStyle w:val="Textodenotaderodap"/>
        <w:ind w:left="113" w:hanging="113"/>
        <w:rPr>
          <w:rFonts w:ascii="Arial" w:hAnsi="Arial" w:cs="Arial"/>
          <w:sz w:val="16"/>
          <w:szCs w:val="16"/>
        </w:rPr>
      </w:pPr>
      <w:r w:rsidRPr="006849F1">
        <w:rPr>
          <w:rStyle w:val="Refdenotaderodap"/>
          <w:rFonts w:ascii="Arial" w:hAnsi="Arial" w:cs="Arial"/>
          <w:sz w:val="16"/>
          <w:szCs w:val="16"/>
        </w:rPr>
        <w:footnoteRef/>
      </w:r>
      <w:r w:rsidRPr="006849F1">
        <w:rPr>
          <w:rFonts w:ascii="Arial" w:hAnsi="Arial" w:cs="Arial"/>
          <w:sz w:val="16"/>
          <w:szCs w:val="16"/>
        </w:rPr>
        <w:t xml:space="preserve"> </w:t>
      </w:r>
      <w:r w:rsidRPr="006849F1">
        <w:rPr>
          <w:rFonts w:ascii="Arial" w:hAnsi="Arial" w:cs="Arial"/>
          <w:bCs/>
          <w:color w:val="000000"/>
          <w:sz w:val="16"/>
          <w:szCs w:val="16"/>
        </w:rPr>
        <w:t>Materiais para sinalização horizontal de estradas. Marcadores retrorreflectores. Parte 1: Requisitos de desempenho inicial</w:t>
      </w:r>
    </w:p>
  </w:footnote>
  <w:footnote w:id="8">
    <w:p w:rsidR="004A65A5" w:rsidRPr="006849F1" w:rsidRDefault="004A65A5" w:rsidP="004A65A5">
      <w:pPr>
        <w:pStyle w:val="Textodenotaderodap"/>
        <w:rPr>
          <w:rFonts w:ascii="Arial" w:hAnsi="Arial" w:cs="Arial"/>
          <w:sz w:val="16"/>
          <w:szCs w:val="16"/>
        </w:rPr>
      </w:pPr>
      <w:r w:rsidRPr="006849F1">
        <w:rPr>
          <w:rStyle w:val="Refdenotaderodap"/>
          <w:rFonts w:ascii="Arial" w:hAnsi="Arial" w:cs="Arial"/>
          <w:sz w:val="16"/>
          <w:szCs w:val="16"/>
        </w:rPr>
        <w:footnoteRef/>
      </w:r>
      <w:r w:rsidRPr="006849F1">
        <w:rPr>
          <w:rFonts w:ascii="Arial" w:hAnsi="Arial" w:cs="Arial"/>
          <w:sz w:val="16"/>
          <w:szCs w:val="16"/>
        </w:rPr>
        <w:t xml:space="preserve"> </w:t>
      </w:r>
      <w:r w:rsidRPr="006849F1">
        <w:rPr>
          <w:rFonts w:ascii="Arial" w:hAnsi="Arial" w:cs="Arial"/>
          <w:bCs/>
          <w:color w:val="000000"/>
          <w:sz w:val="16"/>
          <w:szCs w:val="16"/>
        </w:rPr>
        <w:t>Dispositivos anti-encandeamento para estradas. Parte 1: Desempenho e características</w:t>
      </w:r>
    </w:p>
  </w:footnote>
  <w:footnote w:id="9">
    <w:p w:rsidR="004A65A5" w:rsidRPr="006849F1" w:rsidRDefault="004A65A5" w:rsidP="004A65A5">
      <w:pPr>
        <w:pStyle w:val="Textodenotaderodap"/>
        <w:rPr>
          <w:rFonts w:ascii="Arial" w:hAnsi="Arial" w:cs="Arial"/>
          <w:sz w:val="16"/>
          <w:szCs w:val="16"/>
        </w:rPr>
      </w:pPr>
      <w:r w:rsidRPr="006849F1">
        <w:rPr>
          <w:rStyle w:val="Refdenotaderodap"/>
          <w:rFonts w:ascii="Arial" w:hAnsi="Arial" w:cs="Arial"/>
          <w:sz w:val="16"/>
          <w:szCs w:val="16"/>
        </w:rPr>
        <w:footnoteRef/>
      </w:r>
      <w:r w:rsidRPr="006849F1">
        <w:rPr>
          <w:rFonts w:ascii="Arial" w:hAnsi="Arial" w:cs="Arial"/>
          <w:sz w:val="16"/>
          <w:szCs w:val="16"/>
        </w:rPr>
        <w:t xml:space="preserve"> Também conhecidos por </w:t>
      </w:r>
      <w:r w:rsidRPr="006849F1">
        <w:rPr>
          <w:rFonts w:ascii="Arial" w:hAnsi="Arial" w:cs="Arial"/>
          <w:bCs/>
          <w:sz w:val="16"/>
          <w:szCs w:val="16"/>
        </w:rPr>
        <w:t>“atenuadores de impacto”</w:t>
      </w:r>
    </w:p>
  </w:footnote>
  <w:footnote w:id="10">
    <w:p w:rsidR="004A65A5" w:rsidRPr="006849F1" w:rsidRDefault="004A65A5" w:rsidP="004A65A5">
      <w:pPr>
        <w:pStyle w:val="Textodenotaderodap"/>
        <w:ind w:left="113" w:hanging="113"/>
        <w:rPr>
          <w:rFonts w:ascii="Arial" w:hAnsi="Arial" w:cs="Arial"/>
          <w:sz w:val="16"/>
          <w:szCs w:val="16"/>
        </w:rPr>
      </w:pPr>
      <w:r w:rsidRPr="006849F1">
        <w:rPr>
          <w:rStyle w:val="Refdenotaderodap"/>
          <w:rFonts w:ascii="Arial" w:hAnsi="Arial" w:cs="Arial"/>
          <w:sz w:val="16"/>
          <w:szCs w:val="16"/>
        </w:rPr>
        <w:footnoteRef/>
      </w:r>
      <w:r w:rsidRPr="006849F1">
        <w:rPr>
          <w:rFonts w:ascii="Arial" w:hAnsi="Arial" w:cs="Arial"/>
          <w:sz w:val="16"/>
          <w:szCs w:val="16"/>
        </w:rPr>
        <w:t xml:space="preserve"> </w:t>
      </w:r>
      <w:r w:rsidRPr="006849F1">
        <w:rPr>
          <w:rFonts w:ascii="Arial" w:hAnsi="Arial" w:cs="Arial"/>
          <w:bCs/>
          <w:color w:val="000000"/>
          <w:sz w:val="16"/>
          <w:szCs w:val="16"/>
        </w:rPr>
        <w:t>Sistemas de retenção rodoviários. Parte 5: Requisitos do produto e avaliação de conformidade para sistemas de retenção de veículos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10E41"/>
    <w:multiLevelType w:val="hybridMultilevel"/>
    <w:tmpl w:val="E83E55F6"/>
    <w:lvl w:ilvl="0" w:tplc="303A78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5A5"/>
    <w:rsid w:val="000A5904"/>
    <w:rsid w:val="004A65A5"/>
    <w:rsid w:val="00C50234"/>
    <w:rsid w:val="00D4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5A5"/>
    <w:pPr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semiHidden/>
    <w:rsid w:val="004A65A5"/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4A65A5"/>
    <w:rPr>
      <w:rFonts w:ascii="Courier" w:eastAsia="Times New Roman" w:hAnsi="Courier" w:cs="Times New Roman"/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4A65A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A65A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t-PT"/>
    </w:rPr>
  </w:style>
  <w:style w:type="table" w:styleId="Tabelacomgrelha">
    <w:name w:val="Table Grid"/>
    <w:basedOn w:val="Tabelanormal"/>
    <w:uiPriority w:val="59"/>
    <w:rsid w:val="004A6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1162</Characters>
  <Application>Microsoft Office Word</Application>
  <DocSecurity>0</DocSecurity>
  <Lines>9</Lines>
  <Paragraphs>2</Paragraphs>
  <ScaleCrop>false</ScaleCrop>
  <Company>TOSHIBA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Afesp</dc:creator>
  <cp:lastModifiedBy>Afesp</cp:lastModifiedBy>
  <cp:revision>1</cp:revision>
  <dcterms:created xsi:type="dcterms:W3CDTF">2010-09-09T06:29:00Z</dcterms:created>
  <dcterms:modified xsi:type="dcterms:W3CDTF">2010-09-09T06:31:00Z</dcterms:modified>
</cp:coreProperties>
</file>